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Vendor Services Agreement</w:t>
      </w:r>
    </w:p>
    <w:p>
      <w:pPr>
        <w:pStyle w:val="normal"/>
      </w:pPr>
      <w:r>
        <w:t xml:space="preserve">Supplier: Northstar Analytics Ltd.
Customer: Acme Retail Group
Effective date: 1 January 2026</w:t>
      </w:r>
    </w:p>
    <w:p>
      <w:pPr>
        <w:pStyle w:val="heading1"/>
      </w:pPr>
      <w:r>
        <w:t xml:space="preserve">1. Data processing</w:t>
      </w:r>
    </w:p>
    <w:p>
      <w:pPr>
        <w:pStyle w:val="normal"/>
      </w:pPr>
      <w:r>
        <w:t xml:space="preserve">Customer data shall be processed only to provide the analytics service and shall remain in the European Economic Area. The supplier must obtain the customer's prior written approval before appointing a new subprocessor.</w:t>
      </w:r>
    </w:p>
    <w:p>
      <w:pPr>
        <w:pStyle w:val="heading1"/>
      </w:pPr>
      <w:r>
        <w:t xml:space="preserve">2. Security incidents</w:t>
      </w:r>
    </w:p>
    <w:p>
      <w:pPr>
        <w:pStyle w:val="normal"/>
      </w:pPr>
      <w:r>
        <w:t xml:space="preserve">The supplier shall notify the customer of a confirmed security incident without undue delay and no later than 48 hours after confirmation.</w:t>
      </w:r>
    </w:p>
    <w:p>
      <w:pPr>
        <w:pStyle w:val="heading1"/>
      </w:pPr>
      <w:r>
        <w:t xml:space="preserve">3. Liability</w:t>
      </w:r>
    </w:p>
    <w:p>
      <w:pPr>
        <w:pStyle w:val="normal"/>
      </w:pPr>
      <w:r>
        <w:t xml:space="preserve">Aggregate liability is limited to fees paid in the previous six months, except for confidentiality breaches, data-protection violations, and fraud.</w:t>
      </w:r>
    </w:p>
    <w:p>
      <w:pPr>
        <w:pStyle w:val="heading1"/>
      </w:pPr>
      <w:r>
        <w:t xml:space="preserve">4. Termination</w:t>
      </w:r>
    </w:p>
    <w:p>
      <w:pPr>
        <w:pStyle w:val="normal"/>
      </w:pPr>
      <w:r>
        <w:t xml:space="preserve">Either party may terminate for material breach if the breach is not cured within 30 days of written notice. The agreement does not specify a customer audit right or a data-deletion period after termination.</w:t>
      </w:r>
    </w:p>
    <w:sectPr/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</w:style>
  <w:style w:type="paragraph" w:styleId="title">
    <w:name w:val="Title"/>
  </w:style>
  <w:style w:type="paragraph" w:styleId="heading1">
    <w:name w:val="heading 1"/>
  </w:style>
</w:styles>
</file>

<file path=word/_rels/document.xml.rels><?xml version="1.0" encoding="UTF-8"?><Relationships xmlns="http://schemas.openxmlformats.org/package/2006/relationships"/>
</file>